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4AC" w:rsidRPr="006824AC" w:rsidRDefault="006824AC" w:rsidP="006824AC">
      <w:pPr>
        <w:jc w:val="center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b/>
        </w:rPr>
        <w:t xml:space="preserve">ANEXO </w:t>
      </w:r>
      <w:r w:rsidR="00A13CB8">
        <w:rPr>
          <w:rFonts w:ascii="Arial Narrow" w:hAnsi="Arial Narrow"/>
          <w:b/>
        </w:rPr>
        <w:t>K</w:t>
      </w:r>
      <w:bookmarkStart w:id="0" w:name="_GoBack"/>
      <w:bookmarkEnd w:id="0"/>
      <w:r w:rsidRPr="006824AC">
        <w:rPr>
          <w:rFonts w:ascii="Arial Narrow" w:hAnsi="Arial Narrow"/>
          <w:b/>
        </w:rPr>
        <w:t xml:space="preserve"> – Procedimentos sujeitos a parecer de Comissão de Ética Médica e de serviço de auditoria médica de OMS e Procedimentos médico-hospitalares e odontológicos não cobertos (ZM2) nem financiados (ZM1)</w:t>
      </w:r>
    </w:p>
    <w:p w:rsidR="006824AC" w:rsidRDefault="006824AC" w:rsidP="00DA3940">
      <w:pPr>
        <w:rPr>
          <w:rFonts w:ascii="Arial Narrow" w:hAnsi="Arial Narrow"/>
          <w:sz w:val="22"/>
          <w:szCs w:val="22"/>
        </w:rPr>
      </w:pPr>
    </w:p>
    <w:p w:rsidR="006824AC" w:rsidRDefault="006824AC" w:rsidP="00DA3940">
      <w:pPr>
        <w:rPr>
          <w:rFonts w:ascii="Arial Narrow" w:hAnsi="Arial Narrow"/>
          <w:sz w:val="22"/>
          <w:szCs w:val="22"/>
        </w:rPr>
      </w:pPr>
    </w:p>
    <w:p w:rsidR="006824AC" w:rsidRDefault="006824AC" w:rsidP="00DA3940">
      <w:pPr>
        <w:rPr>
          <w:rFonts w:ascii="Arial Narrow" w:hAnsi="Arial Narrow"/>
          <w:sz w:val="22"/>
          <w:szCs w:val="22"/>
        </w:rPr>
      </w:pPr>
    </w:p>
    <w:p w:rsidR="006824AC" w:rsidRDefault="006824AC" w:rsidP="00DA3940">
      <w:pPr>
        <w:rPr>
          <w:rFonts w:ascii="Arial Narrow" w:hAnsi="Arial Narrow"/>
          <w:sz w:val="22"/>
          <w:szCs w:val="22"/>
        </w:rPr>
      </w:pPr>
    </w:p>
    <w:p w:rsidR="006824AC" w:rsidRDefault="006824AC" w:rsidP="00DA3940">
      <w:pPr>
        <w:rPr>
          <w:rFonts w:ascii="Arial Narrow" w:hAnsi="Arial Narrow"/>
          <w:sz w:val="22"/>
          <w:szCs w:val="22"/>
        </w:rPr>
      </w:pPr>
    </w:p>
    <w:p w:rsidR="00DA3940" w:rsidRPr="006824AC" w:rsidRDefault="00DA3940" w:rsidP="00DA3940">
      <w:pPr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noProof/>
          <w:sz w:val="22"/>
          <w:szCs w:val="22"/>
          <w:lang w:eastAsia="pt-BR"/>
        </w:rPr>
        <w:drawing>
          <wp:anchor distT="0" distB="0" distL="114935" distR="114935" simplePos="0" relativeHeight="251659264" behindDoc="0" locked="0" layoutInCell="1" allowOverlap="1" wp14:anchorId="7F06A956" wp14:editId="3D9B45F9">
            <wp:simplePos x="0" y="0"/>
            <wp:positionH relativeFrom="column">
              <wp:posOffset>2257853</wp:posOffset>
            </wp:positionH>
            <wp:positionV relativeFrom="paragraph">
              <wp:posOffset>-537845</wp:posOffset>
            </wp:positionV>
            <wp:extent cx="943930" cy="1010093"/>
            <wp:effectExtent l="0" t="0" r="889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930" cy="1010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A3940" w:rsidRPr="006824AC" w:rsidRDefault="00DA3940" w:rsidP="00DA3940">
      <w:pPr>
        <w:jc w:val="center"/>
        <w:rPr>
          <w:rFonts w:ascii="Arial Narrow" w:hAnsi="Arial Narrow"/>
          <w:sz w:val="22"/>
          <w:szCs w:val="22"/>
        </w:rPr>
      </w:pPr>
    </w:p>
    <w:p w:rsidR="00DA3940" w:rsidRPr="006824AC" w:rsidRDefault="00DA3940" w:rsidP="00DA3940">
      <w:pPr>
        <w:jc w:val="center"/>
        <w:rPr>
          <w:rFonts w:ascii="Arial Narrow" w:hAnsi="Arial Narrow"/>
          <w:b/>
          <w:sz w:val="22"/>
          <w:szCs w:val="22"/>
        </w:rPr>
      </w:pPr>
    </w:p>
    <w:p w:rsidR="00DA3940" w:rsidRPr="006824AC" w:rsidRDefault="00DA3940" w:rsidP="006824AC">
      <w:pPr>
        <w:spacing w:before="120" w:after="120" w:line="240" w:lineRule="exact"/>
        <w:jc w:val="center"/>
        <w:rPr>
          <w:rFonts w:ascii="Arial Narrow" w:hAnsi="Arial Narrow"/>
          <w:b/>
          <w:sz w:val="22"/>
          <w:szCs w:val="22"/>
        </w:rPr>
      </w:pPr>
      <w:r w:rsidRPr="006824AC">
        <w:rPr>
          <w:rFonts w:ascii="Arial Narrow" w:hAnsi="Arial Narrow"/>
          <w:b/>
          <w:sz w:val="22"/>
          <w:szCs w:val="22"/>
        </w:rPr>
        <w:t>MINISTÉRIO DA DEFESA</w:t>
      </w:r>
    </w:p>
    <w:p w:rsidR="00DA3940" w:rsidRPr="006824AC" w:rsidRDefault="00DA3940" w:rsidP="006824AC">
      <w:pPr>
        <w:spacing w:before="120" w:after="120" w:line="240" w:lineRule="exact"/>
        <w:jc w:val="center"/>
        <w:rPr>
          <w:rFonts w:ascii="Arial Narrow" w:hAnsi="Arial Narrow"/>
          <w:b/>
          <w:sz w:val="22"/>
          <w:szCs w:val="22"/>
        </w:rPr>
      </w:pPr>
      <w:r w:rsidRPr="006824AC">
        <w:rPr>
          <w:rFonts w:ascii="Arial Narrow" w:hAnsi="Arial Narrow"/>
          <w:b/>
          <w:sz w:val="22"/>
          <w:szCs w:val="22"/>
        </w:rPr>
        <w:t>EXÉRCITO BRASILEIRO</w:t>
      </w:r>
    </w:p>
    <w:p w:rsidR="00DA3940" w:rsidRPr="006824AC" w:rsidRDefault="00DA3940" w:rsidP="006824AC">
      <w:pPr>
        <w:spacing w:before="120" w:after="120" w:line="240" w:lineRule="exact"/>
        <w:jc w:val="center"/>
        <w:rPr>
          <w:rFonts w:ascii="Arial Narrow" w:hAnsi="Arial Narrow"/>
          <w:b/>
          <w:sz w:val="22"/>
          <w:szCs w:val="22"/>
        </w:rPr>
      </w:pPr>
      <w:r w:rsidRPr="006824AC">
        <w:rPr>
          <w:rFonts w:ascii="Arial Narrow" w:hAnsi="Arial Narrow"/>
          <w:b/>
          <w:sz w:val="22"/>
          <w:szCs w:val="22"/>
        </w:rPr>
        <w:t>4ª BRIGADA DE CAVALARIA MECANIZADA</w:t>
      </w:r>
    </w:p>
    <w:p w:rsidR="00DA3940" w:rsidRPr="006824AC" w:rsidRDefault="00DA3940" w:rsidP="006824AC">
      <w:pPr>
        <w:spacing w:before="120" w:after="120" w:line="240" w:lineRule="exact"/>
        <w:jc w:val="center"/>
        <w:rPr>
          <w:rFonts w:ascii="Arial Narrow" w:hAnsi="Arial Narrow"/>
          <w:b/>
          <w:sz w:val="22"/>
          <w:szCs w:val="22"/>
        </w:rPr>
      </w:pPr>
      <w:r w:rsidRPr="006824AC">
        <w:rPr>
          <w:rFonts w:ascii="Arial Narrow" w:hAnsi="Arial Narrow"/>
          <w:b/>
          <w:sz w:val="22"/>
          <w:szCs w:val="22"/>
        </w:rPr>
        <w:t>4ª COMPANHIA DE ENGENHARIA DE COMBATE MECANIZADA</w:t>
      </w:r>
    </w:p>
    <w:p w:rsidR="00DA3940" w:rsidRPr="006824AC" w:rsidRDefault="00DA3940" w:rsidP="006824AC">
      <w:pPr>
        <w:spacing w:before="120" w:after="120" w:line="240" w:lineRule="exact"/>
        <w:jc w:val="center"/>
        <w:rPr>
          <w:rFonts w:ascii="Arial Narrow" w:hAnsi="Arial Narrow"/>
          <w:b/>
          <w:sz w:val="22"/>
          <w:szCs w:val="22"/>
        </w:rPr>
      </w:pPr>
      <w:r w:rsidRPr="006824AC">
        <w:rPr>
          <w:rFonts w:ascii="Arial Narrow" w:hAnsi="Arial Narrow"/>
          <w:b/>
          <w:sz w:val="22"/>
          <w:szCs w:val="22"/>
        </w:rPr>
        <w:t>COMPANHIA TENENTE-CORONEL JUVÊNCIO</w:t>
      </w:r>
    </w:p>
    <w:p w:rsidR="00A748E7" w:rsidRPr="006824AC" w:rsidRDefault="00A748E7">
      <w:pPr>
        <w:rPr>
          <w:rFonts w:ascii="Arial Narrow" w:hAnsi="Arial Narrow"/>
          <w:sz w:val="22"/>
          <w:szCs w:val="22"/>
        </w:rPr>
      </w:pPr>
    </w:p>
    <w:p w:rsidR="00DA3940" w:rsidRPr="006824AC" w:rsidRDefault="00DA3940">
      <w:pPr>
        <w:rPr>
          <w:rFonts w:ascii="Arial Narrow" w:hAnsi="Arial Narrow"/>
          <w:sz w:val="22"/>
          <w:szCs w:val="22"/>
        </w:rPr>
      </w:pPr>
    </w:p>
    <w:p w:rsidR="00DA3940" w:rsidRPr="006824AC" w:rsidRDefault="00DA3940">
      <w:pPr>
        <w:rPr>
          <w:rFonts w:ascii="Arial Narrow" w:hAnsi="Arial Narrow"/>
          <w:sz w:val="22"/>
          <w:szCs w:val="22"/>
        </w:rPr>
      </w:pPr>
    </w:p>
    <w:p w:rsidR="00DA3940" w:rsidRPr="006824AC" w:rsidRDefault="00DA3940" w:rsidP="00DA3940">
      <w:pPr>
        <w:pStyle w:val="PargrafodaLista"/>
        <w:widowControl w:val="0"/>
        <w:numPr>
          <w:ilvl w:val="1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Os procedimentos sujeitos a parecer de Comissão Ética Médica e de serviço de auditoria médica de OMS são os a seguir enumerados:</w:t>
      </w:r>
    </w:p>
    <w:p w:rsidR="00DA3940" w:rsidRPr="006824AC" w:rsidRDefault="00DA3940" w:rsidP="00DA3940">
      <w:pPr>
        <w:pStyle w:val="PargrafodaLista"/>
        <w:widowControl w:val="0"/>
        <w:numPr>
          <w:ilvl w:val="2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Por parte do SAMMED/FuSEx, nos termos da Portaria nº DGP-48/2008 (IR 30-38):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 de lipoaspiração;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 corretiva nasal;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 corretiva de mama;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Cirurgias plásticas corretivas em geral;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 eletiva para colocação de próteses corretivas não odontológicas;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 corretiva de desvios da visão;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 de transplantes de órgãos;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Colocação eletiva de próteses não odontológicas;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Gastroplastia;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 de recanalização de laqueadura tubária;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 xml:space="preserve">Terapia fotodinâmica para pacientes com degeneração muscular (utilizando-se </w:t>
      </w:r>
      <w:r w:rsidRPr="006824AC">
        <w:rPr>
          <w:rFonts w:ascii="Arial Narrow" w:hAnsi="Arial Narrow"/>
          <w:i/>
          <w:sz w:val="22"/>
          <w:szCs w:val="22"/>
        </w:rPr>
        <w:t>"Visudyne"</w:t>
      </w:r>
      <w:r w:rsidRPr="006824AC">
        <w:rPr>
          <w:rFonts w:ascii="Arial Narrow" w:hAnsi="Arial Narrow"/>
          <w:sz w:val="22"/>
          <w:szCs w:val="22"/>
        </w:rPr>
        <w:t>);</w:t>
      </w:r>
    </w:p>
    <w:p w:rsidR="00DA3940" w:rsidRPr="006824AC" w:rsidRDefault="00DA3940" w:rsidP="00DA3940">
      <w:pPr>
        <w:pStyle w:val="PargrafodaLista"/>
        <w:numPr>
          <w:ilvl w:val="3"/>
          <w:numId w:val="4"/>
        </w:numPr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Tratamento de apneia do sono com aparelho CPAP (</w:t>
      </w:r>
      <w:r w:rsidRPr="006824AC">
        <w:rPr>
          <w:rFonts w:ascii="Arial Narrow" w:hAnsi="Arial Narrow"/>
          <w:i/>
          <w:sz w:val="22"/>
          <w:szCs w:val="22"/>
        </w:rPr>
        <w:t>"Continuous Positive Airway Pressure"</w:t>
      </w:r>
      <w:r w:rsidRPr="006824AC">
        <w:rPr>
          <w:rFonts w:ascii="Arial Narrow" w:hAnsi="Arial Narrow"/>
          <w:sz w:val="22"/>
          <w:szCs w:val="22"/>
        </w:rPr>
        <w:t>);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Outros procedimentos e tratamentos, a critério do Chefe DGP, ouvidas a DAP e a DSau;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Tratamento e manutenção ortodônticos, acima de 16 (dezesseis) anos, nos casos de discrepância ósseo-dentária no arco inferior ou superior, igual ou superior a oito milímetros (falta do espaço ou apinhamento dental); sobre mordida (</w:t>
      </w:r>
      <w:r w:rsidRPr="006824AC">
        <w:rPr>
          <w:rFonts w:ascii="Arial Narrow" w:hAnsi="Arial Narrow"/>
          <w:i/>
          <w:sz w:val="22"/>
          <w:szCs w:val="22"/>
        </w:rPr>
        <w:t>over-bite</w:t>
      </w:r>
      <w:r w:rsidRPr="006824AC">
        <w:rPr>
          <w:rFonts w:ascii="Arial Narrow" w:hAnsi="Arial Narrow"/>
          <w:sz w:val="22"/>
          <w:szCs w:val="22"/>
        </w:rPr>
        <w:t xml:space="preserve">) exagerada, nos casos em que houver interferência dos dentes anteriores na </w:t>
      </w:r>
      <w:r w:rsidRPr="006824AC">
        <w:rPr>
          <w:rFonts w:ascii="Arial Narrow" w:hAnsi="Arial Narrow"/>
          <w:sz w:val="22"/>
          <w:szCs w:val="22"/>
        </w:rPr>
        <w:lastRenderedPageBreak/>
        <w:t>mucosa do maxilar superior; transpasse horizontal (</w:t>
      </w:r>
      <w:r w:rsidRPr="006824AC">
        <w:rPr>
          <w:rFonts w:ascii="Arial Narrow" w:hAnsi="Arial Narrow"/>
          <w:i/>
          <w:sz w:val="22"/>
          <w:szCs w:val="22"/>
        </w:rPr>
        <w:t>over jet</w:t>
      </w:r>
      <w:r w:rsidRPr="006824AC">
        <w:rPr>
          <w:rFonts w:ascii="Arial Narrow" w:hAnsi="Arial Narrow"/>
          <w:sz w:val="22"/>
          <w:szCs w:val="22"/>
        </w:rPr>
        <w:t>) no arco superior em relação ao arco inferior, igual ou superior a dez milímetros; e mordida cruzada anterior; e,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Implantodontia.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Quanto aos subitens 1.7.1.14 e 1.7.1.15 o parecer será proferido por comissão nomeada pela OMS e formada por, no mínimo, três odontólogos, cuja manifestação dependerá de homologação do Dir OMS.</w:t>
      </w:r>
    </w:p>
    <w:p w:rsidR="00DA3940" w:rsidRPr="006824AC" w:rsidRDefault="00DA3940" w:rsidP="00DA3940">
      <w:pPr>
        <w:widowControl w:val="0"/>
        <w:numPr>
          <w:ilvl w:val="2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Por parte do PASS, conforme a Portaria nº DGP-117/2008 (IR 30-57):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 de lipoaspiração;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 corretiva nasal;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 corretiva de mama;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Cirurgias plásticas corretivas em geral;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 eletiva para colocação de próteses corretivas não odontológicas;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 corretiva de desvios da visão;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 de transplante de córnea e rins (considerando o acompanhamento clínico ambulatorial no período de internação do receptor e do doador e o pós-transplante);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Colocação eletiva de próteses não odontológicas;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Gastroplastia;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Cirurgia de recanalização de laqueadura tubária;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Terapia fotodinâmica para pacientes com degeneração muscular (utilizando-se "Visudyne");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Procedimentos constantes na RN nº 167/2008, da ANS, e não constantes da Tabela da Associação Médica Brasileira/92 ou do Anexo “C” da Portaria nº DGP-117/2008 (IR 30-57); e,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Outros procedimentos e tratamentos, a critério do Chefe DGP, ouvidas a DAP e a DSau.</w:t>
      </w:r>
    </w:p>
    <w:p w:rsidR="00DA3940" w:rsidRPr="006824AC" w:rsidRDefault="00DA3940" w:rsidP="00DA3940">
      <w:pPr>
        <w:widowControl w:val="0"/>
        <w:numPr>
          <w:ilvl w:val="1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Os procedimentos médico-hospitalares e odontológicos não cobertos (ZM2) nem financiados (ZM1), sendo vedada a implantação das despesas, são os a seguir enumerados:</w:t>
      </w:r>
    </w:p>
    <w:p w:rsidR="00DA3940" w:rsidRPr="006824AC" w:rsidRDefault="00DA3940" w:rsidP="00DA3940">
      <w:pPr>
        <w:widowControl w:val="0"/>
        <w:numPr>
          <w:ilvl w:val="2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Por parte do SAMMED/FuSEx, nos termos da Portaria nº DGP-48/2008 (IR 30-38):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Procedimento de natureza estética, inclusive cirurgia plástica estética de embelezamento;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Aquisição de artigos por importação, quando houver similares nacionais que atendam às especificações do tratamento;</w:t>
      </w:r>
    </w:p>
    <w:p w:rsidR="00DA3940" w:rsidRPr="006824AC" w:rsidRDefault="00DA3940" w:rsidP="00DA3940">
      <w:pPr>
        <w:pStyle w:val="PargrafodaLista"/>
        <w:numPr>
          <w:ilvl w:val="3"/>
          <w:numId w:val="4"/>
        </w:numPr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Aquisição de óculos e artigos correlatos;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Hospitalização que objetive, especificamente, os seguintes tratamentos:</w:t>
      </w:r>
    </w:p>
    <w:p w:rsidR="00DA3940" w:rsidRPr="006824AC" w:rsidRDefault="00DA3940" w:rsidP="00DA3940">
      <w:pPr>
        <w:widowControl w:val="0"/>
        <w:numPr>
          <w:ilvl w:val="4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 xml:space="preserve">Gerontológico, enquanto o Exército não dispuser de um centro gerontológico </w:t>
      </w:r>
      <w:r w:rsidRPr="006824AC">
        <w:rPr>
          <w:rFonts w:ascii="Arial Narrow" w:hAnsi="Arial Narrow"/>
          <w:sz w:val="22"/>
          <w:szCs w:val="22"/>
        </w:rPr>
        <w:lastRenderedPageBreak/>
        <w:t>em pleno funcionamento; e,</w:t>
      </w:r>
    </w:p>
    <w:p w:rsidR="00DA3940" w:rsidRPr="006824AC" w:rsidRDefault="00DA3940" w:rsidP="00DA3940">
      <w:pPr>
        <w:pStyle w:val="PargrafodaLista"/>
        <w:numPr>
          <w:ilvl w:val="4"/>
          <w:numId w:val="4"/>
        </w:numPr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De portadores de necessidades educativas especiais, exceto quando acometidos por patologias comuns à população em geral.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Tratamento médico ou odontológico cuja eficiência não seja reconhecida pelos conselhos federais de medicina e odontologia;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Tratamento e manutenção ortodônticos, acima de 16 (dezesseis) anos, exceto nos casos com parecer favorável da comissão referida no subitem 7.7.1.16, nas hipóteses do subitem 7.7.1.14;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Implantodontia, exceto nos casos com parecer favorável da comissão referida no subitem 7.7.1.16;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Elemento odontológico a ser implantado e material para enxertia;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Procedimento e componente odontológico realizado em laboratórios ortodônticos ou de próteses odontológicas (exemplo: prótese e aparelho ortodôntico), exceto em OMS;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Implante hormonal;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 xml:space="preserve">Teste de </w:t>
      </w:r>
      <w:proofErr w:type="gramStart"/>
      <w:r w:rsidRPr="006824AC">
        <w:rPr>
          <w:rFonts w:ascii="Arial Narrow" w:hAnsi="Arial Narrow"/>
          <w:sz w:val="22"/>
          <w:szCs w:val="22"/>
        </w:rPr>
        <w:t>DNA</w:t>
      </w:r>
      <w:proofErr w:type="gramEnd"/>
      <w:r w:rsidRPr="006824AC">
        <w:rPr>
          <w:rFonts w:ascii="Arial Narrow" w:hAnsi="Arial Narrow"/>
          <w:sz w:val="22"/>
          <w:szCs w:val="22"/>
        </w:rPr>
        <w:t>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Tratamentos de infertilidade, fecundação e fertilização;</w:t>
      </w:r>
    </w:p>
    <w:p w:rsidR="00DA3940" w:rsidRPr="006824AC" w:rsidRDefault="00DA3940" w:rsidP="00DA3940">
      <w:pPr>
        <w:pStyle w:val="PargrafodaLista"/>
        <w:numPr>
          <w:ilvl w:val="3"/>
          <w:numId w:val="4"/>
        </w:numPr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No que diz respeito à assistência domiciliar:</w:t>
      </w:r>
    </w:p>
    <w:p w:rsidR="00DA3940" w:rsidRPr="006824AC" w:rsidRDefault="00DA3940" w:rsidP="00DA3940">
      <w:pPr>
        <w:widowControl w:val="0"/>
        <w:numPr>
          <w:ilvl w:val="4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Despesas decorrentes da utilização por parte do paciente de medicamentos de tratamento prolongado ou para doenças crônicas, nos termos da Portaria nº DGP-281/2007 (IR 30-56), cuja natureza não tenha relação específica com o atendimento de caráter médico-domiciliar;</w:t>
      </w:r>
    </w:p>
    <w:p w:rsidR="00DA3940" w:rsidRPr="006824AC" w:rsidRDefault="00DA3940" w:rsidP="00DA3940">
      <w:pPr>
        <w:widowControl w:val="0"/>
        <w:numPr>
          <w:ilvl w:val="4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Tratamentos de natureza geriátrica ou gerontológica; e,</w:t>
      </w:r>
    </w:p>
    <w:p w:rsidR="00DA3940" w:rsidRPr="006824AC" w:rsidRDefault="00DA3940" w:rsidP="00DA3940">
      <w:pPr>
        <w:widowControl w:val="0"/>
        <w:numPr>
          <w:ilvl w:val="4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Beneficiários que estejam recebendo auxílio-invalidez.</w:t>
      </w:r>
    </w:p>
    <w:p w:rsidR="00DA3940" w:rsidRPr="006824AC" w:rsidRDefault="00DA3940" w:rsidP="00DA3940">
      <w:pPr>
        <w:pStyle w:val="PargrafodaLista"/>
        <w:numPr>
          <w:ilvl w:val="3"/>
          <w:numId w:val="4"/>
        </w:numPr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Outros, a critério do Chefe DGP, ouvidas a DAP e a DSau.</w:t>
      </w:r>
    </w:p>
    <w:p w:rsidR="00DA3940" w:rsidRPr="006824AC" w:rsidRDefault="00DA3940" w:rsidP="00DA3940">
      <w:pPr>
        <w:widowControl w:val="0"/>
        <w:numPr>
          <w:ilvl w:val="2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</w:rPr>
      </w:pPr>
      <w:r w:rsidRPr="006824AC">
        <w:rPr>
          <w:rFonts w:ascii="Arial Narrow" w:hAnsi="Arial Narrow"/>
          <w:sz w:val="22"/>
        </w:rPr>
        <w:t>Por parte do PASS, conforme a Portaria nº DGP-117/2008 (IR 30-57):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</w:rPr>
      </w:pPr>
      <w:r w:rsidRPr="006824AC">
        <w:rPr>
          <w:rFonts w:ascii="Arial Narrow" w:hAnsi="Arial Narrow"/>
          <w:sz w:val="22"/>
        </w:rPr>
        <w:t xml:space="preserve">Atendimentos ambulatoriais, internações hospitalares e atendimentos obstétricos </w:t>
      </w:r>
      <w:r w:rsidRPr="006824AC">
        <w:rPr>
          <w:rFonts w:ascii="Arial Narrow" w:hAnsi="Arial Narrow"/>
          <w:b/>
          <w:sz w:val="22"/>
        </w:rPr>
        <w:t>não</w:t>
      </w:r>
      <w:r w:rsidRPr="006824AC">
        <w:rPr>
          <w:rFonts w:ascii="Arial Narrow" w:hAnsi="Arial Narrow"/>
          <w:sz w:val="22"/>
        </w:rPr>
        <w:t xml:space="preserve"> previstos no rol de Procedimentos Básicos da Resolução CONSU n° 12, da Agência Nacional de Saúde Suplementar (ANS), de 4 de novembro de 1998, e na Resolução Normativa n° 167, da ANS, de 9 de janeiro de 2008;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</w:rPr>
      </w:pPr>
      <w:r w:rsidRPr="006824AC">
        <w:rPr>
          <w:rFonts w:ascii="Arial Narrow" w:hAnsi="Arial Narrow"/>
          <w:sz w:val="22"/>
        </w:rPr>
        <w:t xml:space="preserve">Atendimentos básicos fisioterápicos e farmacêuticos, bem como psicológicos, </w:t>
      </w:r>
      <w:r w:rsidRPr="006824AC">
        <w:rPr>
          <w:rFonts w:ascii="Arial Narrow" w:hAnsi="Arial Narrow"/>
          <w:b/>
          <w:sz w:val="22"/>
        </w:rPr>
        <w:t>não</w:t>
      </w:r>
      <w:r w:rsidRPr="006824AC">
        <w:rPr>
          <w:rFonts w:ascii="Arial Narrow" w:hAnsi="Arial Narrow"/>
          <w:sz w:val="22"/>
        </w:rPr>
        <w:t xml:space="preserve"> previstos na Resolução CONSU n° 11, da Agência Nacional de Saúde Suplementar (ANS), de 4 de novembro de 1998;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</w:rPr>
      </w:pPr>
      <w:r w:rsidRPr="006824AC">
        <w:rPr>
          <w:rFonts w:ascii="Arial Narrow" w:hAnsi="Arial Narrow"/>
          <w:sz w:val="22"/>
        </w:rPr>
        <w:t xml:space="preserve">Atendimentos odontológicos </w:t>
      </w:r>
      <w:r w:rsidRPr="006824AC">
        <w:rPr>
          <w:rFonts w:ascii="Arial Narrow" w:hAnsi="Arial Narrow"/>
          <w:b/>
          <w:sz w:val="22"/>
        </w:rPr>
        <w:t>não</w:t>
      </w:r>
      <w:r w:rsidRPr="006824AC">
        <w:rPr>
          <w:rFonts w:ascii="Arial Narrow" w:hAnsi="Arial Narrow"/>
          <w:sz w:val="22"/>
        </w:rPr>
        <w:t xml:space="preserve"> constantes da Resolução Normativa n° 154, da Agência Nacional de Saúde Suplementar, de 5 de junho de 2007 - Atualiza o Rol de Procedimentos Odontológicos e dá outras providências;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</w:rPr>
      </w:pPr>
      <w:r w:rsidRPr="006824AC">
        <w:rPr>
          <w:rFonts w:ascii="Arial Narrow" w:hAnsi="Arial Narrow"/>
          <w:sz w:val="22"/>
        </w:rPr>
        <w:t xml:space="preserve">Tratamento médico ou odontológico cuja eficiência </w:t>
      </w:r>
      <w:r w:rsidRPr="006824AC">
        <w:rPr>
          <w:rFonts w:ascii="Arial Narrow" w:hAnsi="Arial Narrow"/>
          <w:b/>
          <w:sz w:val="22"/>
        </w:rPr>
        <w:t>não</w:t>
      </w:r>
      <w:r w:rsidRPr="006824AC">
        <w:rPr>
          <w:rFonts w:ascii="Arial Narrow" w:hAnsi="Arial Narrow"/>
          <w:sz w:val="22"/>
        </w:rPr>
        <w:t xml:space="preserve"> seja reconhecida pelos conselhos federais de medicina e odontologia ou tratamento clínico ou cirúrgico experimental;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</w:rPr>
      </w:pPr>
      <w:r w:rsidRPr="006824AC">
        <w:rPr>
          <w:rFonts w:ascii="Arial Narrow" w:hAnsi="Arial Narrow"/>
          <w:sz w:val="22"/>
        </w:rPr>
        <w:lastRenderedPageBreak/>
        <w:t>Especialidades médicas não reconhecidas pelo Conselho Federal de Medicina;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</w:rPr>
      </w:pPr>
      <w:r w:rsidRPr="006824AC">
        <w:rPr>
          <w:rFonts w:ascii="Arial Narrow" w:hAnsi="Arial Narrow"/>
          <w:sz w:val="22"/>
        </w:rPr>
        <w:t>Atendimentos prestados antes do início do período de vigência ou do cumprimento de carências;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</w:rPr>
      </w:pPr>
      <w:proofErr w:type="gramStart"/>
      <w:r w:rsidRPr="006824AC">
        <w:rPr>
          <w:rFonts w:ascii="Arial Narrow" w:hAnsi="Arial Narrow"/>
          <w:sz w:val="22"/>
        </w:rPr>
        <w:t>Procedimentos clínicos ou cirúrgicos para fins estéticos, inclusive cirurgia plástica estética, órteses e próteses para</w:t>
      </w:r>
      <w:proofErr w:type="gramEnd"/>
      <w:r w:rsidRPr="006824AC">
        <w:rPr>
          <w:rFonts w:ascii="Arial Narrow" w:hAnsi="Arial Narrow"/>
          <w:sz w:val="22"/>
        </w:rPr>
        <w:t xml:space="preserve"> o mesmo fim;</w:t>
      </w:r>
    </w:p>
    <w:p w:rsidR="00DA3940" w:rsidRPr="006824AC" w:rsidRDefault="00DA3940" w:rsidP="00DA3940">
      <w:pPr>
        <w:pStyle w:val="PargrafodaLista"/>
        <w:numPr>
          <w:ilvl w:val="3"/>
          <w:numId w:val="4"/>
        </w:numPr>
        <w:rPr>
          <w:rFonts w:ascii="Arial Narrow" w:hAnsi="Arial Narrow"/>
          <w:sz w:val="24"/>
          <w:szCs w:val="22"/>
        </w:rPr>
      </w:pPr>
      <w:r w:rsidRPr="006824AC">
        <w:rPr>
          <w:rFonts w:ascii="Arial Narrow" w:hAnsi="Arial Narrow"/>
          <w:sz w:val="22"/>
        </w:rPr>
        <w:t>Inseminação artificial;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Tratamento de rejuvenescimento ou de emagrecimento com finalidade estética;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Tratamentos em centros de saúde pela água (SPA), clínicas de repouso, estâncias hidrominerais, casas sociais e clínicas de idosos;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Fornecimento de medicamentos nacionais ou nacionalizados, exceto durante a internação hospitalar do beneficiário;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Aquisição de artigos por importação;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Fornecimento de medicamentos importados não nacionalizados;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Fornecimento de órteses, próteses e seus acessórios não ligados ao ato e técnica cirúrgica indicados;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 xml:space="preserve">Órtese ou prótese não odontológica acima do valor máximo estabelecido por parte </w:t>
      </w:r>
      <w:proofErr w:type="gramStart"/>
      <w:r w:rsidRPr="006824AC">
        <w:rPr>
          <w:rFonts w:ascii="Arial Narrow" w:hAnsi="Arial Narrow"/>
          <w:sz w:val="22"/>
          <w:szCs w:val="22"/>
        </w:rPr>
        <w:t>do DGP</w:t>
      </w:r>
      <w:proofErr w:type="gramEnd"/>
      <w:r w:rsidRPr="006824AC">
        <w:rPr>
          <w:rFonts w:ascii="Arial Narrow" w:hAnsi="Arial Narrow"/>
          <w:sz w:val="22"/>
          <w:szCs w:val="22"/>
        </w:rPr>
        <w:t>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Tratamentos ilícitos ou antiéticos, assim definidos sob o aspecto médico, ou não reconhecidos pelas autoridades competentes;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Em caso de cataclismos, guerras e comoções internas, quando declarados pela autoridade competente;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Aplicação de vacinas preventivas;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Necropsias, medicina ortomolecular e mineralograma do cabelo;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Aquisição de óculos e artigos correlatos;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Aparelhos ortopédicos;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Aluguel de equipamentos hospitalares e similares;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Procedimentos, exames ou tratamentos realizados no exterior;</w:t>
      </w:r>
    </w:p>
    <w:p w:rsidR="00DA3940" w:rsidRPr="006824AC" w:rsidRDefault="00DA3940" w:rsidP="00DA3940">
      <w:pPr>
        <w:pStyle w:val="PargrafodaLista"/>
        <w:numPr>
          <w:ilvl w:val="3"/>
          <w:numId w:val="4"/>
        </w:numPr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Despesas hospitalares extraordinárias tais como telefonemas, uso de televisão, alimentação não prevista no tratamento, lavagem de roupas e indenização de danos;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Enfermagem em caráter particular;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Estadia de paciente ou acompanhante em hotel, pensão ou similares;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Avaliações pedagógicas;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Orientações vocacionais;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Psicoterapia com objetivos profissionais;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 xml:space="preserve">Diárias hospitalares com a parturiente em condições de alta quando da </w:t>
      </w:r>
      <w:r w:rsidRPr="006824AC">
        <w:rPr>
          <w:rFonts w:ascii="Arial Narrow" w:hAnsi="Arial Narrow"/>
          <w:sz w:val="22"/>
          <w:szCs w:val="22"/>
        </w:rPr>
        <w:lastRenderedPageBreak/>
        <w:t xml:space="preserve">manutenção da internação do </w:t>
      </w:r>
      <w:proofErr w:type="gramStart"/>
      <w:r w:rsidRPr="006824AC">
        <w:rPr>
          <w:rFonts w:ascii="Arial Narrow" w:hAnsi="Arial Narrow"/>
          <w:sz w:val="22"/>
          <w:szCs w:val="22"/>
        </w:rPr>
        <w:t>recém nascido</w:t>
      </w:r>
      <w:proofErr w:type="gramEnd"/>
      <w:r w:rsidRPr="006824AC">
        <w:rPr>
          <w:rFonts w:ascii="Arial Narrow" w:hAnsi="Arial Narrow"/>
          <w:sz w:val="22"/>
          <w:szCs w:val="22"/>
        </w:rPr>
        <w:t xml:space="preserve"> patológico;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Colocação de idosos em asilos;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Tratamento e manutenção ortodônticos;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Tratamentos de implantodontia;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Elemento odontológico a ser implantado e material para enxertia;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Próteses odontológicas de qualquer tipo;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Procedimento e componente odontológico realizado em laboratórios ortodônticos ou de próteses odontológicas (exemplo: prótese e aparelho ortodôntico);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Transplantes ósseos e implantes odontológicos;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Restaurações utilizando porcelana;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Restaurações utilizando resina fotopolimerizável em dentes posteriores somente para fins estéticos;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Hospitalização que objetive, especificamente, os seguintes tratamentos:</w:t>
      </w:r>
    </w:p>
    <w:p w:rsidR="00DA3940" w:rsidRPr="006824AC" w:rsidRDefault="00DA3940" w:rsidP="00DA3940">
      <w:pPr>
        <w:widowControl w:val="0"/>
        <w:numPr>
          <w:ilvl w:val="4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Gerontológico, enquanto o Exército não dispuser de um centro gerontológico em pleno funcionamento;</w:t>
      </w:r>
    </w:p>
    <w:p w:rsidR="00DA3940" w:rsidRPr="006824AC" w:rsidRDefault="00DA3940" w:rsidP="00DA3940">
      <w:pPr>
        <w:widowControl w:val="0"/>
        <w:numPr>
          <w:ilvl w:val="4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De portadores de necessidades educativas especiais, exceto quando acometidos por patologias comuns à população em geral;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Implante hormonal;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 xml:space="preserve">Teste de </w:t>
      </w:r>
      <w:proofErr w:type="gramStart"/>
      <w:r w:rsidRPr="006824AC">
        <w:rPr>
          <w:rFonts w:ascii="Arial Narrow" w:hAnsi="Arial Narrow"/>
          <w:sz w:val="22"/>
          <w:szCs w:val="22"/>
        </w:rPr>
        <w:t>DNA</w:t>
      </w:r>
      <w:proofErr w:type="gramEnd"/>
      <w:r w:rsidRPr="006824AC">
        <w:rPr>
          <w:rFonts w:ascii="Arial Narrow" w:hAnsi="Arial Narrow"/>
          <w:sz w:val="22"/>
          <w:szCs w:val="22"/>
        </w:rPr>
        <w:t>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Tratamentos de infertilidade, fecundação e fertilização;</w:t>
      </w:r>
    </w:p>
    <w:p w:rsidR="00DA3940" w:rsidRPr="006824AC" w:rsidRDefault="00DA3940" w:rsidP="00DA3940">
      <w:pPr>
        <w:widowControl w:val="0"/>
        <w:numPr>
          <w:ilvl w:val="3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Transplantes de órgãos, exceto o constante no inciso XIV, do § 2º, do art. 15 da Portaria nº DGP-117/2008 (IR 30-57);</w:t>
      </w:r>
    </w:p>
    <w:p w:rsidR="00DA3940" w:rsidRPr="006824AC" w:rsidRDefault="00DA3940" w:rsidP="00DA3940">
      <w:pPr>
        <w:pStyle w:val="PargrafodaLista"/>
        <w:numPr>
          <w:ilvl w:val="3"/>
          <w:numId w:val="4"/>
        </w:numPr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No que diz respeito à assistência domiciliar:</w:t>
      </w:r>
    </w:p>
    <w:p w:rsidR="00DA3940" w:rsidRPr="006824AC" w:rsidRDefault="00DA3940" w:rsidP="00DA3940">
      <w:pPr>
        <w:widowControl w:val="0"/>
        <w:numPr>
          <w:ilvl w:val="4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Despesas decorrentes da utilização por parte do paciente de medicamentos de tratamento prolongado ou para doenças crônicas, nos termos da Portaria nº DGP-281/2007 (IR 30-56), cuja natureza não tenha relação específica com o atendimento de caráter médico-domiciliar;</w:t>
      </w:r>
    </w:p>
    <w:p w:rsidR="00DA3940" w:rsidRPr="006824AC" w:rsidRDefault="00DA3940" w:rsidP="00DA3940">
      <w:pPr>
        <w:widowControl w:val="0"/>
        <w:numPr>
          <w:ilvl w:val="4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Tratamentos de natureza geriátrica ou gerontológica; e,</w:t>
      </w:r>
    </w:p>
    <w:p w:rsidR="00DA3940" w:rsidRPr="006824AC" w:rsidRDefault="00DA3940" w:rsidP="00DA3940">
      <w:pPr>
        <w:widowControl w:val="0"/>
        <w:numPr>
          <w:ilvl w:val="4"/>
          <w:numId w:val="4"/>
        </w:numPr>
        <w:suppressAutoHyphens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Beneficiários que estejam recebendo Auxílio-Invalidez.</w:t>
      </w:r>
    </w:p>
    <w:p w:rsidR="00DA3940" w:rsidRPr="006824AC" w:rsidRDefault="00DA3940" w:rsidP="00DA3940">
      <w:pPr>
        <w:pStyle w:val="PargrafodaLista"/>
        <w:numPr>
          <w:ilvl w:val="3"/>
          <w:numId w:val="4"/>
        </w:numPr>
        <w:rPr>
          <w:rFonts w:ascii="Arial Narrow" w:hAnsi="Arial Narrow"/>
          <w:sz w:val="22"/>
          <w:szCs w:val="22"/>
        </w:rPr>
      </w:pPr>
      <w:r w:rsidRPr="006824AC">
        <w:rPr>
          <w:rFonts w:ascii="Arial Narrow" w:hAnsi="Arial Narrow"/>
          <w:sz w:val="22"/>
          <w:szCs w:val="22"/>
        </w:rPr>
        <w:t>Outros, a critério do Chefe DGP, ouvidas a DAP e a DSau.</w:t>
      </w:r>
    </w:p>
    <w:sectPr w:rsidR="00DA3940" w:rsidRPr="006824AC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66D" w:rsidRDefault="00D3466D" w:rsidP="00DA3940">
      <w:r>
        <w:separator/>
      </w:r>
    </w:p>
  </w:endnote>
  <w:endnote w:type="continuationSeparator" w:id="0">
    <w:p w:rsidR="00D3466D" w:rsidRDefault="00D3466D" w:rsidP="00DA3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940" w:rsidRPr="006824AC" w:rsidRDefault="00DA3940" w:rsidP="00DA3940">
    <w:pPr>
      <w:pStyle w:val="Rodap"/>
      <w:jc w:val="both"/>
      <w:rPr>
        <w:sz w:val="14"/>
      </w:rPr>
    </w:pPr>
    <w:r w:rsidRPr="006824AC">
      <w:rPr>
        <w:sz w:val="14"/>
      </w:rPr>
      <w:t xml:space="preserve">Consultoria Jurídica da União Especializada Virtual de Serviços Sem Dedicação Exclusiva de </w:t>
    </w:r>
    <w:proofErr w:type="gramStart"/>
    <w:r w:rsidRPr="006824AC">
      <w:rPr>
        <w:sz w:val="14"/>
      </w:rPr>
      <w:t>Mão de Obra</w:t>
    </w:r>
    <w:proofErr w:type="gramEnd"/>
    <w:r w:rsidRPr="006824AC">
      <w:rPr>
        <w:sz w:val="14"/>
      </w:rPr>
      <w:t xml:space="preserve"> </w:t>
    </w:r>
  </w:p>
  <w:p w:rsidR="00DA3940" w:rsidRPr="006824AC" w:rsidRDefault="00DA3940" w:rsidP="00DA3940">
    <w:pPr>
      <w:pStyle w:val="Rodap"/>
      <w:jc w:val="both"/>
      <w:rPr>
        <w:sz w:val="14"/>
      </w:rPr>
    </w:pPr>
    <w:r w:rsidRPr="006824AC">
      <w:rPr>
        <w:sz w:val="14"/>
      </w:rPr>
      <w:t>Anexo R do edital modelo para credenciamento de pessoas físicas e jurídicas para a prestação de serviços médico-hospitalares e odontológicos</w:t>
    </w:r>
  </w:p>
  <w:p w:rsidR="00DA3940" w:rsidRPr="006824AC" w:rsidRDefault="00DA3940" w:rsidP="00DA3940">
    <w:pPr>
      <w:pStyle w:val="Rodap"/>
      <w:jc w:val="both"/>
      <w:rPr>
        <w:sz w:val="14"/>
      </w:rPr>
    </w:pPr>
    <w:r w:rsidRPr="006824AC">
      <w:rPr>
        <w:sz w:val="14"/>
      </w:rPr>
      <w:t>Atualização: FEVEREIRO/2024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66D" w:rsidRDefault="00D3466D" w:rsidP="00DA3940">
      <w:r>
        <w:separator/>
      </w:r>
    </w:p>
  </w:footnote>
  <w:footnote w:type="continuationSeparator" w:id="0">
    <w:p w:rsidR="00D3466D" w:rsidRDefault="00D3466D" w:rsidP="00DA3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11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1">
    <w:nsid w:val="1ED342D6"/>
    <w:multiLevelType w:val="multilevel"/>
    <w:tmpl w:val="D476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92936CF"/>
    <w:multiLevelType w:val="multilevel"/>
    <w:tmpl w:val="B7CA64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004D96"/>
    <w:multiLevelType w:val="hybridMultilevel"/>
    <w:tmpl w:val="934E7D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B6108"/>
    <w:multiLevelType w:val="multilevel"/>
    <w:tmpl w:val="7A86E59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940"/>
    <w:rsid w:val="00607F45"/>
    <w:rsid w:val="006824AC"/>
    <w:rsid w:val="00A030D1"/>
    <w:rsid w:val="00A13CB8"/>
    <w:rsid w:val="00A748E7"/>
    <w:rsid w:val="00D3466D"/>
    <w:rsid w:val="00DA3940"/>
    <w:rsid w:val="00E00203"/>
    <w:rsid w:val="00E4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94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2">
    <w:name w:val="Nivel 2"/>
    <w:basedOn w:val="Normal"/>
    <w:link w:val="Nivel2Char"/>
    <w:autoRedefine/>
    <w:qFormat/>
    <w:rsid w:val="00A030D1"/>
    <w:pPr>
      <w:spacing w:before="120" w:after="120"/>
      <w:ind w:left="360" w:hanging="360"/>
      <w:jc w:val="both"/>
    </w:pPr>
    <w:rPr>
      <w:rFonts w:ascii="Arial Narrow" w:eastAsia="Arial" w:hAnsi="Arial Narrow" w:cs="Arial"/>
      <w:iCs/>
      <w:sz w:val="24"/>
      <w:shd w:val="clear" w:color="auto" w:fill="F2F2EE"/>
      <w:lang w:eastAsia="pt-BR"/>
    </w:rPr>
  </w:style>
  <w:style w:type="character" w:customStyle="1" w:styleId="Nivel2Char">
    <w:name w:val="Nivel 2 Char"/>
    <w:basedOn w:val="Tipodeletrapredefinidodopargrafo"/>
    <w:link w:val="Nivel2"/>
    <w:locked/>
    <w:rsid w:val="00A030D1"/>
    <w:rPr>
      <w:rFonts w:ascii="Arial Narrow" w:eastAsia="Arial" w:hAnsi="Arial Narrow" w:cs="Arial"/>
      <w:iCs/>
      <w:sz w:val="24"/>
      <w:lang w:eastAsia="pt-BR"/>
    </w:rPr>
  </w:style>
  <w:style w:type="paragraph" w:styleId="PargrafodaLista">
    <w:name w:val="List Paragraph"/>
    <w:basedOn w:val="Normal"/>
    <w:uiPriority w:val="34"/>
    <w:qFormat/>
    <w:rsid w:val="00DA3940"/>
    <w:pPr>
      <w:ind w:left="720"/>
      <w:contextualSpacing/>
    </w:pPr>
  </w:style>
  <w:style w:type="character" w:customStyle="1" w:styleId="WW8Num6z0">
    <w:name w:val="WW8Num6z0"/>
    <w:rsid w:val="00DA3940"/>
    <w:rPr>
      <w:rFonts w:eastAsia="Times New Roman"/>
    </w:rPr>
  </w:style>
  <w:style w:type="paragraph" w:styleId="Cabealho">
    <w:name w:val="header"/>
    <w:basedOn w:val="Normal"/>
    <w:link w:val="CabealhoCarcter"/>
    <w:uiPriority w:val="99"/>
    <w:unhideWhenUsed/>
    <w:rsid w:val="00DA394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394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Rodap">
    <w:name w:val="footer"/>
    <w:basedOn w:val="Normal"/>
    <w:link w:val="RodapCarcter"/>
    <w:uiPriority w:val="99"/>
    <w:unhideWhenUsed/>
    <w:rsid w:val="00DA394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394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94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2">
    <w:name w:val="Nivel 2"/>
    <w:basedOn w:val="Normal"/>
    <w:link w:val="Nivel2Char"/>
    <w:autoRedefine/>
    <w:qFormat/>
    <w:rsid w:val="00A030D1"/>
    <w:pPr>
      <w:spacing w:before="120" w:after="120"/>
      <w:ind w:left="360" w:hanging="360"/>
      <w:jc w:val="both"/>
    </w:pPr>
    <w:rPr>
      <w:rFonts w:ascii="Arial Narrow" w:eastAsia="Arial" w:hAnsi="Arial Narrow" w:cs="Arial"/>
      <w:iCs/>
      <w:sz w:val="24"/>
      <w:shd w:val="clear" w:color="auto" w:fill="F2F2EE"/>
      <w:lang w:eastAsia="pt-BR"/>
    </w:rPr>
  </w:style>
  <w:style w:type="character" w:customStyle="1" w:styleId="Nivel2Char">
    <w:name w:val="Nivel 2 Char"/>
    <w:basedOn w:val="Tipodeletrapredefinidodopargrafo"/>
    <w:link w:val="Nivel2"/>
    <w:locked/>
    <w:rsid w:val="00A030D1"/>
    <w:rPr>
      <w:rFonts w:ascii="Arial Narrow" w:eastAsia="Arial" w:hAnsi="Arial Narrow" w:cs="Arial"/>
      <w:iCs/>
      <w:sz w:val="24"/>
      <w:lang w:eastAsia="pt-BR"/>
    </w:rPr>
  </w:style>
  <w:style w:type="paragraph" w:styleId="PargrafodaLista">
    <w:name w:val="List Paragraph"/>
    <w:basedOn w:val="Normal"/>
    <w:uiPriority w:val="34"/>
    <w:qFormat/>
    <w:rsid w:val="00DA3940"/>
    <w:pPr>
      <w:ind w:left="720"/>
      <w:contextualSpacing/>
    </w:pPr>
  </w:style>
  <w:style w:type="character" w:customStyle="1" w:styleId="WW8Num6z0">
    <w:name w:val="WW8Num6z0"/>
    <w:rsid w:val="00DA3940"/>
    <w:rPr>
      <w:rFonts w:eastAsia="Times New Roman"/>
    </w:rPr>
  </w:style>
  <w:style w:type="paragraph" w:styleId="Cabealho">
    <w:name w:val="header"/>
    <w:basedOn w:val="Normal"/>
    <w:link w:val="CabealhoCarcter"/>
    <w:uiPriority w:val="99"/>
    <w:unhideWhenUsed/>
    <w:rsid w:val="00DA394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394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Rodap">
    <w:name w:val="footer"/>
    <w:basedOn w:val="Normal"/>
    <w:link w:val="RodapCarcter"/>
    <w:uiPriority w:val="99"/>
    <w:unhideWhenUsed/>
    <w:rsid w:val="00DA394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394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1437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AUX SALC</dc:creator>
  <cp:lastModifiedBy>AUX SALC</cp:lastModifiedBy>
  <cp:revision>3</cp:revision>
  <dcterms:created xsi:type="dcterms:W3CDTF">2025-07-09T19:14:00Z</dcterms:created>
  <dcterms:modified xsi:type="dcterms:W3CDTF">2025-07-18T18:17:00Z</dcterms:modified>
</cp:coreProperties>
</file>